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 methods in TS: Vinay and </w:t>
      </w:r>
      <w:proofErr w:type="spellStart"/>
      <w:r>
        <w:rPr>
          <w:lang w:val="en-US"/>
        </w:rPr>
        <w:t>Darbelnet’s</w:t>
      </w:r>
      <w:proofErr w:type="spellEnd"/>
      <w:r>
        <w:rPr>
          <w:lang w:val="en-US"/>
        </w:rPr>
        <w:t xml:space="preserve"> classical taxonomy of linguistic changes in translation (1985). A model for classification of translation strategies.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Morphological operations and processes.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Simultaneous translation and interpreter’s competences.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Note-taking in consecutive translation.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criticism: scholars’ view.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Audio-visual translation.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Gerard McAlester’s definitions in translation criticism.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Stylistic devices and translation of fiction.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Code-switching and bilingual interpreters.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Speech Act Theory.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J.House’s</w:t>
      </w:r>
      <w:proofErr w:type="spellEnd"/>
      <w:proofErr w:type="gramEnd"/>
      <w:r>
        <w:rPr>
          <w:lang w:val="en-US"/>
        </w:rPr>
        <w:t xml:space="preserve"> model of translation quality assessment and its history.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Basics of consecutive translation.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Use-related and user-related language variations.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Research methods in TS: Holmes’ map of translation studies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Language, communication and culture</w:t>
      </w:r>
    </w:p>
    <w:p w:rsidR="00D637B7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Affixation: morphological structure of English words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Corpus-based translation studies: means of investigating translated language</w:t>
      </w:r>
    </w:p>
    <w:p w:rsidR="008F459C" w:rsidRDefault="008F459C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movies</w:t>
      </w:r>
    </w:p>
    <w:p w:rsidR="008F459C" w:rsidRDefault="00525C19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methods in TS: functional theories</w:t>
      </w:r>
    </w:p>
    <w:p w:rsidR="00525C19" w:rsidRDefault="00525C19" w:rsidP="008F459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Nida’s</w:t>
      </w:r>
      <w:proofErr w:type="spellEnd"/>
      <w:r>
        <w:rPr>
          <w:lang w:val="en-US"/>
        </w:rPr>
        <w:t xml:space="preserve"> concept for formal equivalence</w:t>
      </w:r>
    </w:p>
    <w:p w:rsidR="00525C19" w:rsidRDefault="00525C19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 principles of scientific text translation</w:t>
      </w:r>
    </w:p>
    <w:p w:rsidR="00525C19" w:rsidRDefault="00525C19" w:rsidP="008F4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“False friends” in translation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fiction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Basics of written translation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equivalence and adequacy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culture-specific terms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Transformations in translation</w:t>
      </w:r>
    </w:p>
    <w:p w:rsidR="00525C19" w:rsidRDefault="00525C19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of business correspondence</w:t>
      </w:r>
    </w:p>
    <w:p w:rsidR="00525C19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criticism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Peculiarities of technical translation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History of simultaneous translation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modalities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 translation theories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Whispering interpretation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Delivery, </w:t>
      </w:r>
      <w:proofErr w:type="spellStart"/>
      <w:r>
        <w:rPr>
          <w:lang w:val="en-US"/>
        </w:rPr>
        <w:t>decalage</w:t>
      </w:r>
      <w:proofErr w:type="spellEnd"/>
      <w:r>
        <w:rPr>
          <w:lang w:val="en-US"/>
        </w:rPr>
        <w:t xml:space="preserve"> and comprehension skills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Poetry translation: dos and dots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role of an interpreter in intercultural communication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Adaptation and pragmatic translation</w:t>
      </w:r>
    </w:p>
    <w:p w:rsidR="00B62E0A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 interpreting</w:t>
      </w:r>
    </w:p>
    <w:p w:rsidR="00B62E0A" w:rsidRPr="00525C19" w:rsidRDefault="00B62E0A" w:rsidP="00525C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ambuguity</w:t>
      </w:r>
      <w:bookmarkStart w:id="0" w:name="_GoBack"/>
      <w:bookmarkEnd w:id="0"/>
    </w:p>
    <w:sectPr w:rsidR="00B62E0A" w:rsidRPr="0052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D5D"/>
    <w:multiLevelType w:val="hybridMultilevel"/>
    <w:tmpl w:val="08B0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6F"/>
    <w:rsid w:val="00163CB3"/>
    <w:rsid w:val="00525C19"/>
    <w:rsid w:val="007D156F"/>
    <w:rsid w:val="008F459C"/>
    <w:rsid w:val="00B56367"/>
    <w:rsid w:val="00B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A539"/>
  <w15:chartTrackingRefBased/>
  <w15:docId w15:val="{AF52D833-B62A-49C5-B213-CFCD18E9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2022-06-22T14:28:00Z</dcterms:created>
  <dcterms:modified xsi:type="dcterms:W3CDTF">2022-06-22T14:57:00Z</dcterms:modified>
</cp:coreProperties>
</file>